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2</w:t>
      </w:r>
    </w:p>
    <w:p>
      <w:pPr>
        <w:widowControl/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  <w:t>化工企业“五懂五会五能”交流研讨会</w:t>
      </w:r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val="en-US" w:eastAsia="zh-CN" w:bidi="ar"/>
        </w:rPr>
        <w:t>参会回执</w:t>
      </w:r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017"/>
        <w:gridCol w:w="2452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both"/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6392" w:type="dxa"/>
            <w:gridSpan w:val="3"/>
          </w:tcPr>
          <w:p>
            <w:pPr>
              <w:widowControl/>
              <w:jc w:val="both"/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both"/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6392" w:type="dxa"/>
            <w:gridSpan w:val="3"/>
          </w:tcPr>
          <w:p>
            <w:pPr>
              <w:widowControl/>
              <w:jc w:val="both"/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hint="default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参会人员姓名</w:t>
            </w:r>
          </w:p>
        </w:tc>
        <w:tc>
          <w:tcPr>
            <w:tcW w:w="1017" w:type="dxa"/>
          </w:tcPr>
          <w:p>
            <w:pPr>
              <w:widowControl/>
              <w:jc w:val="center"/>
              <w:rPr>
                <w:rFonts w:hint="default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452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923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2452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2923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2452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2923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2452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2923" w:type="dxa"/>
          </w:tcPr>
          <w:p>
            <w:pPr>
              <w:widowControl/>
              <w:jc w:val="both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jc w:val="both"/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>
      <w:pPr>
        <w:widowControl/>
        <w:jc w:val="both"/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>
      <w:pPr>
        <w:widowControl/>
        <w:jc w:val="both"/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mRiMTQ1M2MwMjI0MTYxM2VlMTdjYzcwZTIwMzQifQ=="/>
  </w:docVars>
  <w:rsids>
    <w:rsidRoot w:val="00000000"/>
    <w:rsid w:val="2424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2022-12-15T01:07:12Z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7AB0C0435FCC482097B6A40CC175B8D0</vt:lpwstr>
  </property>
</Properties>
</file>