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CCDA2">
      <w:pPr>
        <w:pStyle w:val="6"/>
        <w:spacing w:after="120"/>
        <w:rPr>
          <w:rFonts w:ascii="Calibri" w:eastAsia="宋体"/>
          <w:sz w:val="21"/>
        </w:rPr>
      </w:pPr>
      <w:bookmarkStart w:id="0" w:name="_Toc229734654"/>
      <w:bookmarkStart w:id="1" w:name="_Toc232318259"/>
      <w:r>
        <w:rPr>
          <w:rFonts w:hint="eastAsia"/>
          <w:lang w:bidi="ar"/>
        </w:rPr>
        <w:t>中国化学品安全协会会员管理办法</w:t>
      </w:r>
      <w:bookmarkEnd w:id="0"/>
      <w:bookmarkEnd w:id="1"/>
    </w:p>
    <w:p w14:paraId="66F9B663">
      <w:pPr>
        <w:pStyle w:val="7"/>
        <w:rPr>
          <w:lang w:bidi="ar"/>
        </w:rPr>
      </w:pPr>
      <w:r>
        <w:rPr>
          <w:rFonts w:hint="eastAsia"/>
          <w:lang w:bidi="ar"/>
        </w:rPr>
        <w:t>（2020年6月15日第三届理事会第七次会议审议通过）</w:t>
      </w:r>
    </w:p>
    <w:p w14:paraId="14D6DB72">
      <w:pPr>
        <w:ind w:left="600" w:firstLine="0" w:firstLineChars="0"/>
      </w:pPr>
    </w:p>
    <w:p w14:paraId="11AD51F9">
      <w:pPr>
        <w:pStyle w:val="9"/>
        <w:snapToGrid w:val="0"/>
        <w:spacing w:before="0" w:beforeLines="0" w:after="0" w:afterLines="0"/>
      </w:pPr>
      <w:r>
        <w:t>第一章</w:t>
      </w:r>
      <w:r>
        <w:rPr>
          <w:spacing w:val="8"/>
        </w:rPr>
        <w:t xml:space="preserve">  </w:t>
      </w:r>
      <w:r>
        <w:t>总则</w:t>
      </w:r>
    </w:p>
    <w:p w14:paraId="412E81B8">
      <w:pPr>
        <w:ind w:firstLine="600"/>
      </w:pPr>
      <w:r>
        <w:rPr>
          <w:rFonts w:ascii="黑体" w:hAnsi="黑体" w:eastAsia="黑体" w:cs="黑体"/>
        </w:rPr>
        <w:t xml:space="preserve">第一条  </w:t>
      </w:r>
      <w:r>
        <w:t>为加强中国化学品安全协会（以下简称协会）会员管理，维护会员的合法权益，根据《中国化学品安全协会章程》（以下简称章程）有关规定，制定本管理办法。</w:t>
      </w:r>
    </w:p>
    <w:p w14:paraId="30333587">
      <w:pPr>
        <w:ind w:firstLine="600"/>
      </w:pPr>
      <w:r>
        <w:rPr>
          <w:rFonts w:ascii="黑体" w:hAnsi="黑体" w:eastAsia="黑体" w:cs="黑体"/>
        </w:rPr>
        <w:t xml:space="preserve">第二条  </w:t>
      </w:r>
      <w:r>
        <w:t>协会是由化工（危险化学品）行业领域内的企事业单位、科研院所、大中专院校、咨询服务机构和有关组织自</w:t>
      </w:r>
      <w:r>
        <w:rPr>
          <w:spacing w:val="-2"/>
        </w:rPr>
        <w:t>愿结</w:t>
      </w:r>
      <w:r>
        <w:t>成的全国性、行业性社会团体，是非营利性的社会组织。</w:t>
      </w:r>
    </w:p>
    <w:p w14:paraId="37995309">
      <w:pPr>
        <w:ind w:firstLine="584"/>
        <w:rPr>
          <w:spacing w:val="4"/>
        </w:rPr>
      </w:pPr>
      <w:r>
        <w:rPr>
          <w:spacing w:val="-4"/>
        </w:rPr>
        <w:t>会员为单位会员，单位会员须具备独立法人资格。</w:t>
      </w:r>
    </w:p>
    <w:p w14:paraId="101355B1">
      <w:pPr>
        <w:pStyle w:val="9"/>
        <w:snapToGrid w:val="0"/>
        <w:spacing w:before="0" w:beforeLines="0" w:after="0" w:afterLines="0"/>
      </w:pPr>
      <w:r>
        <w:t>第二章  入会条件和程序</w:t>
      </w:r>
    </w:p>
    <w:p w14:paraId="50CB1D79">
      <w:pPr>
        <w:ind w:firstLine="600"/>
      </w:pPr>
      <w:r>
        <w:rPr>
          <w:rFonts w:ascii="黑体" w:hAnsi="黑体" w:eastAsia="黑体" w:cs="黑体"/>
        </w:rPr>
        <w:t xml:space="preserve">第三条  </w:t>
      </w:r>
      <w:r>
        <w:t>申请加入协会的单位会员，须拥护协会章程，并符合下列条件：</w:t>
      </w:r>
    </w:p>
    <w:p w14:paraId="1B369150">
      <w:pPr>
        <w:ind w:firstLine="600"/>
      </w:pPr>
      <w:r>
        <w:t>（一）遵守国家法律，维护行业诚信，重视安全生产工作，有加入本会的意愿；</w:t>
      </w:r>
    </w:p>
    <w:p w14:paraId="17716230">
      <w:pPr>
        <w:ind w:firstLine="600"/>
      </w:pPr>
      <w:r>
        <w:t>（二）从事化工（危险化学品）生产经营、科学研究、工程设计、教育培训、咨询服务等工作的企事业单位、科研院所、大中专院校、工程设计、咨询服务机构和有关社会组织；</w:t>
      </w:r>
    </w:p>
    <w:p w14:paraId="73D080C9">
      <w:pPr>
        <w:ind w:firstLine="600"/>
      </w:pPr>
      <w:r>
        <w:t>（三）在化工（危险化学品）行业领域内具备一定的影响力；</w:t>
      </w:r>
    </w:p>
    <w:p w14:paraId="20E98573">
      <w:pPr>
        <w:ind w:firstLine="600"/>
      </w:pPr>
      <w:r>
        <w:t>（四）积极参加本会活动，执行本会决议，履行单位会员义务。</w:t>
      </w:r>
    </w:p>
    <w:p w14:paraId="39B14BF1">
      <w:pPr>
        <w:ind w:firstLine="600"/>
      </w:pPr>
      <w:r>
        <w:rPr>
          <w:rFonts w:ascii="黑体" w:hAnsi="黑体" w:eastAsia="黑体" w:cs="黑体"/>
        </w:rPr>
        <w:t xml:space="preserve">第四条  </w:t>
      </w:r>
      <w:r>
        <w:t>申请入会程序：</w:t>
      </w:r>
    </w:p>
    <w:p w14:paraId="61BB3B1C">
      <w:pPr>
        <w:ind w:firstLine="600"/>
      </w:pPr>
      <w:r>
        <w:t>（一）提交入会申请</w:t>
      </w:r>
      <w:r>
        <w:rPr>
          <w:rFonts w:hint="eastAsia"/>
          <w:lang w:val="en-US" w:eastAsia="zh-CN"/>
        </w:rPr>
        <w:t>书</w:t>
      </w:r>
      <w:r>
        <w:t>：</w:t>
      </w:r>
    </w:p>
    <w:p w14:paraId="66D783DA">
      <w:pPr>
        <w:ind w:firstLine="600"/>
      </w:pPr>
      <w:r>
        <w:t>（二）提交以下有关证明材料：</w:t>
      </w:r>
    </w:p>
    <w:p w14:paraId="74EA2480">
      <w:pPr>
        <w:ind w:firstLine="600"/>
      </w:pPr>
      <w:r>
        <w:t>1.企业营业执照或其他登记证书复</w:t>
      </w:r>
      <w:r>
        <w:rPr>
          <w:rFonts w:hint="eastAsia"/>
        </w:rPr>
        <w:t>件</w:t>
      </w:r>
      <w:r>
        <w:t>；</w:t>
      </w:r>
    </w:p>
    <w:p w14:paraId="55872854">
      <w:pPr>
        <w:ind w:firstLine="600"/>
      </w:pPr>
      <w:r>
        <w:t>2.企业法定代表人身份证复印件；</w:t>
      </w:r>
    </w:p>
    <w:p w14:paraId="2E86612A">
      <w:pPr>
        <w:ind w:firstLine="600"/>
      </w:pPr>
      <w:r>
        <w:t>3.</w:t>
      </w:r>
      <w:r>
        <w:rPr>
          <w:rFonts w:hint="eastAsia"/>
          <w:lang w:val="en-US" w:eastAsia="zh-CN"/>
        </w:rPr>
        <w:t>单位简介</w:t>
      </w:r>
      <w:r>
        <w:t>。</w:t>
      </w:r>
    </w:p>
    <w:p w14:paraId="00C41690">
      <w:pPr>
        <w:ind w:firstLine="600"/>
      </w:pPr>
      <w:r>
        <w:t>（三）由</w:t>
      </w:r>
      <w:r>
        <w:rPr>
          <w:rFonts w:hint="eastAsia"/>
          <w:lang w:val="en-US" w:eastAsia="zh-CN"/>
        </w:rPr>
        <w:t>常务</w:t>
      </w:r>
      <w:r>
        <w:t>理事会或者理事会授权的机构讨论通过；</w:t>
      </w:r>
    </w:p>
    <w:p w14:paraId="7DA24BA1">
      <w:pPr>
        <w:ind w:firstLine="600"/>
      </w:pPr>
      <w:r>
        <w:t>（四）由本会</w:t>
      </w:r>
      <w:r>
        <w:rPr>
          <w:rFonts w:hint="eastAsia"/>
          <w:lang w:val="en-US" w:eastAsia="zh-CN"/>
        </w:rPr>
        <w:t>理事会或授权的机构</w:t>
      </w:r>
      <w:r>
        <w:t>颁发会员证，并予以公告。</w:t>
      </w:r>
    </w:p>
    <w:p w14:paraId="563C5DF8">
      <w:pPr>
        <w:ind w:firstLine="600"/>
      </w:pPr>
      <w:r>
        <w:rPr>
          <w:rStyle w:val="10"/>
        </w:rPr>
        <w:t>第五条</w:t>
      </w:r>
      <w:r>
        <w:t xml:space="preserve">  协会单位会员分为理事长单位、副理事长单位、理事单位、会员单位四个等级。</w:t>
      </w:r>
    </w:p>
    <w:p w14:paraId="64EDC97C">
      <w:pPr>
        <w:pStyle w:val="9"/>
        <w:snapToGrid w:val="0"/>
        <w:spacing w:before="0" w:beforeLines="0" w:after="0" w:afterLines="0"/>
      </w:pPr>
      <w:r>
        <w:t>第三章  会员的权利和义务</w:t>
      </w:r>
    </w:p>
    <w:p w14:paraId="11578473">
      <w:pPr>
        <w:ind w:firstLine="600"/>
      </w:pPr>
      <w:r>
        <w:rPr>
          <w:rStyle w:val="10"/>
        </w:rPr>
        <w:t>第六条</w:t>
      </w:r>
      <w:r>
        <w:t xml:space="preserve">  会员享有下列权利：</w:t>
      </w:r>
    </w:p>
    <w:p w14:paraId="6580E08E">
      <w:pPr>
        <w:ind w:firstLine="600"/>
      </w:pPr>
      <w:r>
        <w:t>（一）选举权、被选举权和表决权；</w:t>
      </w:r>
    </w:p>
    <w:p w14:paraId="1C338AF2">
      <w:pPr>
        <w:ind w:firstLine="600"/>
      </w:pPr>
      <w:r>
        <w:t>（二）对本会工作的知情权、监督权和批评建议权；</w:t>
      </w:r>
    </w:p>
    <w:p w14:paraId="006613D9">
      <w:pPr>
        <w:ind w:firstLine="600"/>
      </w:pPr>
      <w:r>
        <w:t>（三）参加本会活动并获得本会服务的优先权；</w:t>
      </w:r>
    </w:p>
    <w:p w14:paraId="67142C91">
      <w:pPr>
        <w:ind w:firstLine="600"/>
      </w:pPr>
      <w:r>
        <w:t>（四）获取本会信息请求本会帮助解决技术问题的优先权；</w:t>
      </w:r>
    </w:p>
    <w:p w14:paraId="0BFEB47C">
      <w:pPr>
        <w:ind w:firstLine="600"/>
      </w:pPr>
      <w:r>
        <w:t>（五）提请本会保护其合法权益不受侵害的权利；</w:t>
      </w:r>
    </w:p>
    <w:p w14:paraId="455EB9EF">
      <w:pPr>
        <w:ind w:firstLine="600"/>
      </w:pPr>
      <w:r>
        <w:t>（六）退会自由的权利。</w:t>
      </w:r>
    </w:p>
    <w:p w14:paraId="5E0FEB33">
      <w:pPr>
        <w:ind w:firstLine="600"/>
      </w:pPr>
      <w:r>
        <w:rPr>
          <w:rStyle w:val="10"/>
        </w:rPr>
        <w:t>第七条</w:t>
      </w:r>
      <w:r>
        <w:t xml:space="preserve">  会员履行下列义务：</w:t>
      </w:r>
    </w:p>
    <w:p w14:paraId="23BEFA84">
      <w:pPr>
        <w:ind w:firstLine="600"/>
      </w:pPr>
      <w:r>
        <w:t>（一）遵守本会的章程和各项规定；</w:t>
      </w:r>
    </w:p>
    <w:p w14:paraId="709D5E83">
      <w:pPr>
        <w:ind w:firstLine="600"/>
      </w:pPr>
      <w:r>
        <w:t>（二）执行本会的决议；</w:t>
      </w:r>
    </w:p>
    <w:p w14:paraId="603FA925">
      <w:pPr>
        <w:ind w:firstLine="600"/>
      </w:pPr>
      <w:r>
        <w:t>（三）按规定交纳会费；</w:t>
      </w:r>
    </w:p>
    <w:p w14:paraId="0548DD77">
      <w:pPr>
        <w:ind w:firstLine="600"/>
      </w:pPr>
      <w:r>
        <w:t>（四）维护本会合法权益；</w:t>
      </w:r>
    </w:p>
    <w:p w14:paraId="5764DCB8">
      <w:pPr>
        <w:ind w:firstLine="600"/>
      </w:pPr>
      <w:r>
        <w:t>（五）向本会反映情况，提供有关资料；</w:t>
      </w:r>
    </w:p>
    <w:p w14:paraId="632633E9">
      <w:pPr>
        <w:ind w:firstLine="600"/>
        <w:rPr>
          <w:rFonts w:hint="eastAsia"/>
          <w:lang w:val="en-US" w:eastAsia="zh-CN"/>
        </w:rPr>
      </w:pPr>
      <w:r>
        <w:t>（六）</w:t>
      </w:r>
      <w:r>
        <w:rPr>
          <w:rFonts w:hint="eastAsia"/>
          <w:lang w:val="en-US" w:eastAsia="zh-CN"/>
        </w:rPr>
        <w:t>严格遵守国家相关法律法规及行业规范，积极践行行业自律公约，维护行业整体利益；</w:t>
      </w:r>
    </w:p>
    <w:p w14:paraId="53746B6A">
      <w:pPr>
        <w:ind w:firstLine="600"/>
      </w:pPr>
      <w:r>
        <w:rPr>
          <w:rFonts w:hint="eastAsia"/>
          <w:lang w:val="en-US" w:eastAsia="zh-CN"/>
        </w:rPr>
        <w:t>（七）</w:t>
      </w:r>
      <w:r>
        <w:t>积极参加本会组织的活动，为本会活动提供帮助。</w:t>
      </w:r>
    </w:p>
    <w:p w14:paraId="3449A2EA">
      <w:pPr>
        <w:ind w:firstLine="600"/>
        <w:rPr>
          <w:rFonts w:hAnsi="仿宋_GB2312" w:cs="仿宋_GB2312"/>
          <w:szCs w:val="30"/>
        </w:rPr>
        <w:sectPr>
          <w:headerReference r:id="rId5" w:type="default"/>
          <w:footerReference r:id="rId7" w:type="default"/>
          <w:headerReference r:id="rId6" w:type="even"/>
          <w:footerReference r:id="rId8" w:type="even"/>
          <w:pgSz w:w="11906" w:h="16839"/>
          <w:pgMar w:top="1440" w:right="1588" w:bottom="1440" w:left="1588" w:header="850" w:footer="992" w:gutter="0"/>
          <w:pgNumType w:start="1"/>
          <w:cols w:space="720" w:num="1"/>
          <w:docGrid w:linePitch="408" w:charSpace="0"/>
        </w:sectPr>
      </w:pPr>
    </w:p>
    <w:p w14:paraId="07FBC9F2">
      <w:pPr>
        <w:pStyle w:val="9"/>
        <w:snapToGrid w:val="0"/>
        <w:spacing w:before="0" w:beforeLines="0" w:after="0" w:afterLines="0"/>
      </w:pPr>
      <w:r>
        <w:t>第四章  会员管理</w:t>
      </w:r>
    </w:p>
    <w:p w14:paraId="617F01B5">
      <w:pPr>
        <w:ind w:firstLine="600"/>
      </w:pPr>
      <w:r>
        <w:rPr>
          <w:rStyle w:val="10"/>
        </w:rPr>
        <w:t>第八条</w:t>
      </w:r>
      <w:r>
        <w:t xml:space="preserve">  会员一经批准入会，即纳入管理，协会开始提供相应的服务，会员履行相关义务，享受应有权利。</w:t>
      </w:r>
    </w:p>
    <w:p w14:paraId="607170D1">
      <w:pPr>
        <w:ind w:firstLine="600"/>
        <w:rPr>
          <w:spacing w:val="2"/>
        </w:rPr>
      </w:pPr>
      <w:r>
        <w:rPr>
          <w:rStyle w:val="10"/>
        </w:rPr>
        <w:t>第九条</w:t>
      </w:r>
      <w:r>
        <w:t xml:space="preserve">  </w:t>
      </w:r>
      <w:r>
        <w:rPr>
          <w:spacing w:val="4"/>
        </w:rPr>
        <w:t>协会建立会员联络员制度，会员应指定专人担任联络员，联络员应保持相对稳定。会员的联系人、单位名称、通信地址、电话号码、电子邮箱等发生变化时，应及时通知协会秘书处进行变更。</w:t>
      </w:r>
    </w:p>
    <w:p w14:paraId="7B01E9A0">
      <w:pPr>
        <w:ind w:firstLine="600"/>
      </w:pPr>
      <w:r>
        <w:rPr>
          <w:rStyle w:val="10"/>
        </w:rPr>
        <w:t>第十条</w:t>
      </w:r>
      <w:r>
        <w:t xml:space="preserve">  会员应按照《中国化学品安全协会会费管理制度》规定，于每年6月30日前足额缴纳会费。</w:t>
      </w:r>
    </w:p>
    <w:p w14:paraId="45A8539D">
      <w:pPr>
        <w:ind w:firstLine="600"/>
      </w:pPr>
      <w:r>
        <w:rPr>
          <w:rStyle w:val="10"/>
        </w:rPr>
        <w:t>第十二条</w:t>
      </w:r>
      <w:r>
        <w:t xml:space="preserve">  会员应自觉维护协会声誉，未经授权许可，不得以协会名义组织各种活动。</w:t>
      </w:r>
    </w:p>
    <w:p w14:paraId="659C7BCF">
      <w:pPr>
        <w:ind w:firstLine="600"/>
      </w:pPr>
      <w:r>
        <w:rPr>
          <w:rStyle w:val="10"/>
        </w:rPr>
        <w:t xml:space="preserve">第十三条 </w:t>
      </w:r>
      <w:r>
        <w:t xml:space="preserve"> 会员退会须书面通知协会并交回会员证。</w:t>
      </w:r>
    </w:p>
    <w:p w14:paraId="3F46A2DE">
      <w:pPr>
        <w:ind w:firstLine="600"/>
      </w:pPr>
      <w:r>
        <w:rPr>
          <w:rStyle w:val="10"/>
        </w:rPr>
        <w:t>第十四条</w:t>
      </w:r>
      <w:r>
        <w:t xml:space="preserve">  会员有下列情形之一的，自动丧失会员资格：</w:t>
      </w:r>
    </w:p>
    <w:p w14:paraId="13E3035B">
      <w:pPr>
        <w:ind w:firstLine="600"/>
      </w:pPr>
      <w:r>
        <w:t>（一）两年不按规定交纳会费的；</w:t>
      </w:r>
    </w:p>
    <w:p w14:paraId="07047255">
      <w:pPr>
        <w:ind w:firstLine="600"/>
      </w:pPr>
      <w:r>
        <w:t>（二）两年不按要求参加协会活动的；</w:t>
      </w:r>
    </w:p>
    <w:p w14:paraId="50A2EA2A">
      <w:pPr>
        <w:ind w:firstLine="600"/>
      </w:pPr>
      <w:r>
        <w:t>（三）不再符合会员条件的；</w:t>
      </w:r>
    </w:p>
    <w:p w14:paraId="14FE2B72">
      <w:pPr>
        <w:ind w:firstLine="600"/>
      </w:pPr>
      <w:r>
        <w:t>（四）丧失民事行为能力的。</w:t>
      </w:r>
    </w:p>
    <w:p w14:paraId="75D57440">
      <w:pPr>
        <w:ind w:firstLine="600"/>
      </w:pPr>
      <w:r>
        <w:rPr>
          <w:rStyle w:val="10"/>
        </w:rPr>
        <w:t>第十五条</w:t>
      </w:r>
      <w:r>
        <w:t xml:space="preserve">  会员退会、自动丧失会员资格或者被除名后，其在协会相应的职务、权利、义务均自行终止。</w:t>
      </w:r>
    </w:p>
    <w:p w14:paraId="18D9B22A">
      <w:pPr>
        <w:ind w:firstLine="600"/>
      </w:pPr>
      <w:r>
        <w:rPr>
          <w:rStyle w:val="10"/>
        </w:rPr>
        <w:t>第十六条</w:t>
      </w:r>
      <w:r>
        <w:t xml:space="preserve">  本管理办法经中国化学品安全协会第三届理事会第七次全体会议审议通过后执行。</w:t>
      </w:r>
    </w:p>
    <w:p w14:paraId="3273838B">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18030">
    <w:altName w:val="微软雅黑"/>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B3CC">
    <w:pPr>
      <w:tabs>
        <w:tab w:val="center" w:pos="4153"/>
        <w:tab w:val="right" w:pos="8306"/>
      </w:tabs>
      <w:adjustRightInd/>
      <w:spacing w:line="240" w:lineRule="auto"/>
      <w:ind w:left="406" w:firstLine="560" w:firstLineChars="0"/>
      <w:jc w:val="right"/>
      <w:textAlignment w:val="auto"/>
      <w:rPr>
        <w:rFonts w:ascii="Times New Roman" w:eastAsia="宋体"/>
        <w:kern w:val="2"/>
        <w:sz w:val="21"/>
        <w:szCs w:val="21"/>
      </w:rPr>
    </w:pPr>
    <w:r>
      <w:rPr>
        <w:rFonts w:ascii="新宋体-18030" w:hAnsi="新宋体-18030" w:eastAsia="新宋体-18030" w:cs="新宋体-18030"/>
        <w:kern w:val="2"/>
        <w:sz w:val="28"/>
        <w:szCs w:val="28"/>
      </w:rPr>
      <w:t xml:space="preserve">— </w:t>
    </w:r>
    <w:r>
      <w:rPr>
        <w:rFonts w:ascii="新宋体-18030" w:hAnsi="新宋体-18030" w:eastAsia="新宋体-18030" w:cs="新宋体-18030"/>
        <w:kern w:val="2"/>
        <w:sz w:val="28"/>
        <w:szCs w:val="28"/>
      </w:rPr>
      <w:fldChar w:fldCharType="begin"/>
    </w:r>
    <w:r>
      <w:rPr>
        <w:rFonts w:ascii="新宋体-18030" w:hAnsi="新宋体-18030" w:eastAsia="新宋体-18030" w:cs="新宋体-18030"/>
        <w:kern w:val="2"/>
        <w:sz w:val="28"/>
        <w:szCs w:val="28"/>
      </w:rPr>
      <w:instrText xml:space="preserve"> PAGE   \* MERGEFORMAT </w:instrText>
    </w:r>
    <w:r>
      <w:rPr>
        <w:rFonts w:ascii="新宋体-18030" w:hAnsi="新宋体-18030" w:eastAsia="新宋体-18030" w:cs="新宋体-18030"/>
        <w:kern w:val="2"/>
        <w:sz w:val="28"/>
        <w:szCs w:val="28"/>
      </w:rPr>
      <w:fldChar w:fldCharType="separate"/>
    </w:r>
    <w:r>
      <w:rPr>
        <w:rFonts w:ascii="新宋体-18030" w:hAnsi="新宋体-18030" w:eastAsia="新宋体-18030" w:cs="新宋体-18030"/>
        <w:kern w:val="2"/>
        <w:sz w:val="28"/>
        <w:szCs w:val="28"/>
      </w:rPr>
      <w:t>1</w:t>
    </w:r>
    <w:r>
      <w:rPr>
        <w:rFonts w:ascii="新宋体-18030" w:hAnsi="新宋体-18030" w:eastAsia="新宋体-18030" w:cs="新宋体-18030"/>
        <w:kern w:val="2"/>
        <w:sz w:val="28"/>
        <w:szCs w:val="28"/>
      </w:rPr>
      <w:fldChar w:fldCharType="end"/>
    </w:r>
    <w:r>
      <w:rPr>
        <w:rFonts w:ascii="新宋体-18030" w:hAnsi="新宋体-18030" w:eastAsia="新宋体-18030" w:cs="新宋体-18030"/>
        <w:kern w:val="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783413865"/>
      <w:docPartObj>
        <w:docPartGallery w:val="autotext"/>
      </w:docPartObj>
    </w:sdtPr>
    <w:sdtEndPr>
      <w:rPr>
        <w:rFonts w:ascii="Times New Roman" w:hAnsi="Times New Roman"/>
        <w:sz w:val="21"/>
        <w:szCs w:val="21"/>
      </w:rPr>
    </w:sdtEndPr>
    <w:sdtContent>
      <w:p w14:paraId="5B02AF7D">
        <w:pPr>
          <w:tabs>
            <w:tab w:val="center" w:pos="4153"/>
            <w:tab w:val="right" w:pos="8306"/>
          </w:tabs>
          <w:adjustRightInd/>
          <w:spacing w:line="240" w:lineRule="auto"/>
          <w:ind w:right="420" w:firstLine="0" w:firstLineChars="0"/>
          <w:textAlignment w:val="auto"/>
          <w:rPr>
            <w:rFonts w:ascii="Times New Roman" w:eastAsia="宋体"/>
            <w:kern w:val="2"/>
            <w:sz w:val="21"/>
            <w:szCs w:val="21"/>
          </w:rPr>
        </w:pPr>
        <w:r>
          <w:rPr>
            <w:rFonts w:ascii="新宋体-18030" w:hAnsi="新宋体-18030" w:eastAsia="新宋体-18030" w:cs="新宋体-18030"/>
            <w:kern w:val="2"/>
            <w:sz w:val="28"/>
            <w:szCs w:val="28"/>
          </w:rPr>
          <w:t xml:space="preserve">— </w:t>
        </w:r>
        <w:r>
          <w:rPr>
            <w:rFonts w:ascii="新宋体-18030" w:hAnsi="新宋体-18030" w:eastAsia="新宋体-18030" w:cs="新宋体-18030"/>
            <w:kern w:val="2"/>
            <w:sz w:val="28"/>
            <w:szCs w:val="28"/>
          </w:rPr>
          <w:fldChar w:fldCharType="begin"/>
        </w:r>
        <w:r>
          <w:rPr>
            <w:rFonts w:ascii="新宋体-18030" w:hAnsi="新宋体-18030" w:eastAsia="新宋体-18030" w:cs="新宋体-18030"/>
            <w:kern w:val="2"/>
            <w:sz w:val="28"/>
            <w:szCs w:val="28"/>
          </w:rPr>
          <w:instrText xml:space="preserve"> PAGE   \* MERGEFORMAT </w:instrText>
        </w:r>
        <w:r>
          <w:rPr>
            <w:rFonts w:ascii="新宋体-18030" w:hAnsi="新宋体-18030" w:eastAsia="新宋体-18030" w:cs="新宋体-18030"/>
            <w:kern w:val="2"/>
            <w:sz w:val="28"/>
            <w:szCs w:val="28"/>
          </w:rPr>
          <w:fldChar w:fldCharType="separate"/>
        </w:r>
        <w:r>
          <w:rPr>
            <w:rFonts w:ascii="新宋体-18030" w:hAnsi="新宋体-18030" w:eastAsia="新宋体-18030" w:cs="新宋体-18030"/>
            <w:sz w:val="28"/>
            <w:szCs w:val="28"/>
          </w:rPr>
          <w:t>1</w:t>
        </w:r>
        <w:r>
          <w:rPr>
            <w:rFonts w:ascii="新宋体-18030" w:hAnsi="新宋体-18030" w:eastAsia="新宋体-18030" w:cs="新宋体-18030"/>
            <w:kern w:val="2"/>
            <w:sz w:val="28"/>
            <w:szCs w:val="28"/>
          </w:rPr>
          <w:fldChar w:fldCharType="end"/>
        </w:r>
        <w:r>
          <w:rPr>
            <w:rFonts w:ascii="新宋体-18030" w:hAnsi="新宋体-18030" w:eastAsia="新宋体-18030" w:cs="新宋体-18030"/>
            <w:kern w:val="2"/>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34FE">
    <w:pPr>
      <w:pStyle w:val="3"/>
      <w:pBdr>
        <w:bottom w:val="none" w:color="auto" w:sz="0" w:space="0"/>
      </w:pBdr>
      <w:ind w:firstLine="480"/>
      <w:jc w:val="right"/>
    </w:pPr>
    <w:r>
      <w:rPr>
        <w:rFonts w:hint="eastAsia" w:ascii="黑体" w:hAnsi="黑体" w:eastAsia="黑体" w:cs="宋体"/>
        <w:bCs/>
        <w:color w:val="000000"/>
        <w:sz w:val="24"/>
        <w:szCs w:val="24"/>
        <w:lang w:val="zh-CN"/>
      </w:rPr>
      <w:t>协会管理制度篇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BB93">
    <w:pPr>
      <w:pStyle w:val="3"/>
      <w:pBdr>
        <w:bottom w:val="none" w:color="auto" w:sz="0" w:space="0"/>
      </w:pBdr>
      <w:jc w:val="left"/>
      <w:rPr>
        <w:sz w:val="24"/>
        <w:szCs w:val="24"/>
      </w:rPr>
    </w:pPr>
    <w:r>
      <w:rPr>
        <w:rFonts w:hint="eastAsia" w:ascii="黑体" w:hAnsi="黑体" w:eastAsia="黑体" w:cs="宋体"/>
        <w:bCs/>
        <w:color w:val="000000"/>
        <w:sz w:val="24"/>
        <w:szCs w:val="24"/>
        <w:lang w:val="zh-CN"/>
      </w:rPr>
      <w:t>中国化学品安全协会管理制度汇编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00F63"/>
    <w:rsid w:val="5250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textAlignment w:val="baseline"/>
    </w:pPr>
    <w:rPr>
      <w:rFonts w:ascii="仿宋" w:hAnsi="仿宋" w:eastAsia="仿宋_GB2312" w:cs="Times New Roman"/>
      <w:sz w:val="30"/>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bCs/>
      <w:kern w:val="44"/>
      <w:sz w:val="40"/>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adjustRightInd/>
      <w:spacing w:line="240" w:lineRule="auto"/>
      <w:ind w:firstLine="0" w:firstLineChars="0"/>
      <w:jc w:val="center"/>
      <w:textAlignment w:val="auto"/>
    </w:pPr>
    <w:rPr>
      <w:rFonts w:ascii="Calibri" w:hAnsi="Calibri" w:eastAsia="宋体"/>
      <w:kern w:val="2"/>
      <w:sz w:val="18"/>
      <w:szCs w:val="18"/>
    </w:rPr>
  </w:style>
  <w:style w:type="paragraph" w:customStyle="1" w:styleId="6">
    <w:name w:val="1级"/>
    <w:basedOn w:val="2"/>
    <w:qFormat/>
    <w:uiPriority w:val="0"/>
    <w:pPr>
      <w:spacing w:after="50" w:afterLines="50"/>
    </w:pPr>
    <w:rPr>
      <w:rFonts w:ascii="Times New Roman"/>
    </w:rPr>
  </w:style>
  <w:style w:type="paragraph" w:customStyle="1" w:styleId="7">
    <w:name w:val="时间"/>
    <w:basedOn w:val="8"/>
    <w:qFormat/>
    <w:uiPriority w:val="0"/>
    <w:pPr>
      <w:ind w:firstLine="0" w:firstLineChars="0"/>
      <w:jc w:val="center"/>
    </w:pPr>
    <w:rPr>
      <w:rFonts w:ascii="楷体_GB2312" w:eastAsia="楷体_GB2312"/>
    </w:rPr>
  </w:style>
  <w:style w:type="paragraph" w:customStyle="1" w:styleId="8">
    <w:name w:val="正文-00"/>
    <w:basedOn w:val="1"/>
    <w:qFormat/>
    <w:uiPriority w:val="0"/>
    <w:pPr>
      <w:ind w:firstLine="600"/>
    </w:pPr>
    <w:rPr>
      <w:rFonts w:hAnsi="华文仿宋"/>
      <w:szCs w:val="28"/>
    </w:rPr>
  </w:style>
  <w:style w:type="paragraph" w:customStyle="1" w:styleId="9">
    <w:name w:val="第一章"/>
    <w:basedOn w:val="1"/>
    <w:link w:val="10"/>
    <w:qFormat/>
    <w:uiPriority w:val="0"/>
    <w:pPr>
      <w:tabs>
        <w:tab w:val="left" w:pos="900"/>
      </w:tabs>
      <w:adjustRightInd/>
      <w:snapToGrid/>
      <w:spacing w:before="50" w:beforeLines="50" w:after="50" w:afterLines="50"/>
      <w:ind w:firstLine="0" w:firstLineChars="0"/>
      <w:jc w:val="center"/>
      <w:textAlignment w:val="auto"/>
    </w:pPr>
    <w:rPr>
      <w:rFonts w:ascii="Arial" w:hAnsi="Arial" w:eastAsia="黑体"/>
      <w:bCs/>
      <w:szCs w:val="32"/>
    </w:rPr>
  </w:style>
  <w:style w:type="character" w:customStyle="1" w:styleId="10">
    <w:name w:val="第一章 字符"/>
    <w:basedOn w:val="5"/>
    <w:link w:val="9"/>
    <w:qFormat/>
    <w:uiPriority w:val="0"/>
    <w:rPr>
      <w:rFonts w:ascii="Arial" w:hAnsi="Arial" w:eastAsia="黑体"/>
      <w:bCs/>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2026-06-15T10:15:00Z</dcterms:created>
  <dc:creator>liuji</dc:creator>
  <cp:lastModifiedBy>liuji</cp:lastModifiedBy>
  <dcterms:modified xsi:type="dcterms:W3CDTF">2026-06-15T10:15:35Z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C6A65ED9B39245CBB9A67E59F7F6F79F_11</vt:lpwstr>
  </property>
  <property fmtid="{D5CDD505-2E9C-101B-9397-08002B2CF9AE}" pid="4" name="KSOTemplateDocerSaveRecord">
    <vt:lpwstr>eyJoZGlkIjoiMzEwNTM5NzYwMDRjMzkwZTVkZjY2ODkwMGIxNGU0OTUiLCJ1c2VySWQiOiI2MTQ2MTE2MjYifQ==</vt:lpwstr>
  </property>
</Properties>
</file>